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0A" w:rsidRDefault="00A2150A"/>
    <w:p w:rsidR="00001F61" w:rsidRPr="00001F61" w:rsidRDefault="00001F61" w:rsidP="00001F61">
      <w:pPr>
        <w:shd w:val="clear" w:color="auto" w:fill="FFFFFF"/>
        <w:jc w:val="left"/>
        <w:rPr>
          <w:rFonts w:ascii="Arial" w:eastAsia="Times New Roman" w:hAnsi="Arial" w:cs="Arial"/>
          <w:color w:val="000000"/>
          <w:sz w:val="20"/>
          <w:szCs w:val="20"/>
          <w:lang w:eastAsia="tr-TR"/>
        </w:rPr>
      </w:pPr>
    </w:p>
    <w:p w:rsidR="00001F61" w:rsidRDefault="00001F61" w:rsidP="00001F61">
      <w:pPr>
        <w:shd w:val="clear" w:color="auto" w:fill="FFFFFF"/>
        <w:spacing w:before="180"/>
        <w:jc w:val="left"/>
        <w:outlineLvl w:val="2"/>
        <w:rPr>
          <w:rFonts w:ascii="Arial" w:eastAsia="Times New Roman" w:hAnsi="Arial" w:cs="Arial"/>
          <w:b/>
          <w:bCs/>
          <w:color w:val="000000"/>
          <w:sz w:val="38"/>
          <w:szCs w:val="38"/>
          <w:lang w:eastAsia="tr-TR"/>
        </w:rPr>
      </w:pPr>
      <w:bookmarkStart w:id="0" w:name="7114226705571346132"/>
      <w:bookmarkEnd w:id="0"/>
      <w:r w:rsidRPr="00001F61">
        <w:rPr>
          <w:rFonts w:ascii="Arial" w:eastAsia="Times New Roman" w:hAnsi="Arial" w:cs="Arial"/>
          <w:b/>
          <w:bCs/>
          <w:color w:val="000000"/>
          <w:sz w:val="38"/>
          <w:szCs w:val="38"/>
          <w:lang w:eastAsia="tr-TR"/>
        </w:rPr>
        <w:t>Enflasyona İlişkin Üç Soru Üç Yanıt</w:t>
      </w:r>
    </w:p>
    <w:p w:rsidR="00001F61" w:rsidRPr="00001F61" w:rsidRDefault="00001F61" w:rsidP="00001F61">
      <w:pPr>
        <w:shd w:val="clear" w:color="auto" w:fill="FFFFFF"/>
        <w:jc w:val="left"/>
        <w:outlineLvl w:val="1"/>
        <w:rPr>
          <w:rFonts w:ascii="Arial" w:eastAsia="Times New Roman" w:hAnsi="Arial" w:cs="Arial"/>
          <w:b/>
          <w:bCs/>
          <w:color w:val="000000"/>
          <w:sz w:val="17"/>
          <w:szCs w:val="17"/>
          <w:lang w:eastAsia="tr-TR"/>
        </w:rPr>
      </w:pPr>
      <w:r w:rsidRPr="00001F61">
        <w:rPr>
          <w:rFonts w:ascii="Arial" w:eastAsia="Times New Roman" w:hAnsi="Arial" w:cs="Arial"/>
          <w:b/>
          <w:bCs/>
          <w:color w:val="888888"/>
          <w:spacing w:val="45"/>
          <w:sz w:val="17"/>
          <w:szCs w:val="17"/>
          <w:shd w:val="clear" w:color="auto" w:fill="FFFFFF"/>
          <w:lang w:eastAsia="tr-TR"/>
        </w:rPr>
        <w:t>6 Eylül 2017 Çarşamba</w:t>
      </w:r>
    </w:p>
    <w:p w:rsidR="00001F61" w:rsidRPr="00001F61" w:rsidRDefault="00001F61" w:rsidP="00001F61">
      <w:pPr>
        <w:shd w:val="clear" w:color="auto" w:fill="FFFFFF"/>
        <w:spacing w:before="180"/>
        <w:jc w:val="left"/>
        <w:outlineLvl w:val="2"/>
        <w:rPr>
          <w:rFonts w:ascii="Arial" w:eastAsia="Times New Roman" w:hAnsi="Arial" w:cs="Arial"/>
          <w:b/>
          <w:bCs/>
          <w:color w:val="000000"/>
          <w:sz w:val="38"/>
          <w:szCs w:val="38"/>
          <w:lang w:eastAsia="tr-TR"/>
        </w:rPr>
      </w:pPr>
      <w:bookmarkStart w:id="1" w:name="_GoBack"/>
      <w:bookmarkEnd w:id="1"/>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Ağustos ayı enflasyon verileri açıklanıp da enflasyonun yeniden çifte hanelere çıktığı görülünce birçok soru atıldı ortaya. Bunlardan üçü en fazla sorulan sorular arasındaydı.</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jc w:val="left"/>
        <w:rPr>
          <w:rFonts w:ascii="Arial" w:eastAsia="Times New Roman" w:hAnsi="Arial" w:cs="Arial"/>
          <w:color w:val="000000"/>
          <w:sz w:val="21"/>
          <w:szCs w:val="21"/>
          <w:lang w:eastAsia="tr-TR"/>
        </w:rPr>
      </w:pPr>
      <w:r w:rsidRPr="00001F61">
        <w:rPr>
          <w:rFonts w:ascii="Arial" w:eastAsia="Times New Roman" w:hAnsi="Arial" w:cs="Arial"/>
          <w:b/>
          <w:bCs/>
          <w:color w:val="000000"/>
          <w:sz w:val="21"/>
          <w:szCs w:val="21"/>
          <w:lang w:eastAsia="tr-TR"/>
        </w:rPr>
        <w:t>Birinci Soru:</w:t>
      </w: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Üretici Fiyatları Endeksi (YİÜFE), Tüketici Fiyatları Endeksinden (TÜFE) oldukça yukarıda bulunuyor. Bunun anlamı nedir ve bu ileride böyle devam eder mi?</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jc w:val="left"/>
        <w:rPr>
          <w:rFonts w:ascii="Arial" w:eastAsia="Times New Roman" w:hAnsi="Arial" w:cs="Arial"/>
          <w:color w:val="000000"/>
          <w:sz w:val="21"/>
          <w:szCs w:val="21"/>
          <w:lang w:eastAsia="tr-TR"/>
        </w:rPr>
      </w:pPr>
      <w:r w:rsidRPr="00001F61">
        <w:rPr>
          <w:rFonts w:ascii="Arial" w:eastAsia="Times New Roman" w:hAnsi="Arial" w:cs="Arial"/>
          <w:b/>
          <w:bCs/>
          <w:color w:val="000000"/>
          <w:sz w:val="21"/>
          <w:szCs w:val="21"/>
          <w:lang w:eastAsia="tr-TR"/>
        </w:rPr>
        <w:t>Birinci Soruya Yanıt:</w:t>
      </w: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2015 Ocak ayından bu yana enflasyonun çizdiği görünümü aşağıdaki grafikte sunuyorum. TÜFE tüketici fiyatları endeksindeki, YİÜFE yurtiçi üretici fiyatları endeksindeki aylık değişimleri gösteriyor.</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Pr>
          <w:rFonts w:ascii="Arial" w:eastAsia="Times New Roman" w:hAnsi="Arial" w:cs="Arial"/>
          <w:noProof/>
          <w:color w:val="0B5394"/>
          <w:sz w:val="21"/>
          <w:szCs w:val="21"/>
          <w:lang w:eastAsia="tr-TR"/>
        </w:rPr>
        <w:drawing>
          <wp:inline distT="0" distB="0" distL="0" distR="0">
            <wp:extent cx="4343400" cy="2562225"/>
            <wp:effectExtent l="0" t="0" r="0" b="9525"/>
            <wp:docPr id="3" name="Picture 3" descr="https://1.bp.blogspot.com/-djHjG1cq7xo/Wa_6cHGCEcI/AAAAAAAARcI/tDA9Ex5jYlUgcxgJ35KxluMg3I9jeI-4ACLcBGAs/s1600/Ekran%2BAl%25C4%25B1nt%25C4%25B1s%25C4%25B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djHjG1cq7xo/Wa_6cHGCEcI/AAAAAAAARcI/tDA9Ex5jYlUgcxgJ35KxluMg3I9jeI-4ACLcBGAs/s1600/Ekran%2BAl%25C4%25B1nt%25C4%25B1s%25C4%25B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2562225"/>
                    </a:xfrm>
                    <a:prstGeom prst="rect">
                      <a:avLst/>
                    </a:prstGeom>
                    <a:noFill/>
                    <a:ln>
                      <a:noFill/>
                    </a:ln>
                  </pic:spPr>
                </pic:pic>
              </a:graphicData>
            </a:graphic>
          </wp:inline>
        </w:drawing>
      </w:r>
    </w:p>
    <w:p w:rsidR="00001F61" w:rsidRPr="00001F61" w:rsidRDefault="00001F61" w:rsidP="00001F61">
      <w:pPr>
        <w:shd w:val="clear" w:color="auto" w:fill="FFFFFF"/>
        <w:jc w:val="left"/>
        <w:rPr>
          <w:rFonts w:ascii="Arial" w:eastAsia="Times New Roman" w:hAnsi="Arial" w:cs="Arial"/>
          <w:color w:val="000000"/>
          <w:sz w:val="21"/>
          <w:szCs w:val="21"/>
          <w:lang w:eastAsia="tr-TR"/>
        </w:rPr>
      </w:pPr>
      <w:bookmarkStart w:id="2" w:name="more"/>
      <w:bookmarkEnd w:id="2"/>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Grafiğin ortaya koyduğu görünümden şunlar çıkıyor: YİÜFE yani üretici fiyatları 2016 yılı Temmuz ayından sonra hızla artmış ve TÜFE’nin yani tüketici fiyatları artışının oldukça üstüne çıkmış. Bunun ne anlama geldiğini ve ne sonuç vereceğini analiz edebilmek için önce malın üretimden tüketime geliş yolunu belirleyelim.</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En basit şekliyle bu yol şöyle bir patika izler:</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Pr>
          <w:rFonts w:ascii="Arial" w:eastAsia="Times New Roman" w:hAnsi="Arial" w:cs="Arial"/>
          <w:noProof/>
          <w:color w:val="0B5394"/>
          <w:sz w:val="21"/>
          <w:szCs w:val="21"/>
          <w:lang w:eastAsia="tr-TR"/>
        </w:rPr>
        <w:drawing>
          <wp:inline distT="0" distB="0" distL="0" distR="0">
            <wp:extent cx="4219575" cy="228600"/>
            <wp:effectExtent l="0" t="0" r="9525" b="0"/>
            <wp:docPr id="2" name="Picture 2" descr="https://4.bp.blogspot.com/-Ie7bOed1-Tg/Wa_6zdffh-I/AAAAAAAARcM/6esrBASv6t0hCi5f-tVtI0jezbEBVZCVQCLcBGAs/s1600/Ekran%2BAl%25C4%25B1nt%25C4%25B1s%25C4%25B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Ie7bOed1-Tg/Wa_6zdffh-I/AAAAAAAARcM/6esrBASv6t0hCi5f-tVtI0jezbEBVZCVQCLcBGAs/s1600/Ekran%2BAl%25C4%25B1nt%25C4%25B1s%25C4%25B1.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228600"/>
                    </a:xfrm>
                    <a:prstGeom prst="rect">
                      <a:avLst/>
                    </a:prstGeom>
                    <a:noFill/>
                    <a:ln>
                      <a:noFill/>
                    </a:ln>
                  </pic:spPr>
                </pic:pic>
              </a:graphicData>
            </a:graphic>
          </wp:inline>
        </w:drawing>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YİÜFE dediğimiz üretici fiyatları endeksi üretici – toptancı aşamasındaki fiyatları alıp sepete koyar. TÜFE dediğimiz tüketici fiyatları endeksi ise perakendecinin tüketiciye sattığı malın veya sunduğu hizmetin fiyatlarını alıp sepete koyar. </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 xml:space="preserve">Bu durumda yukarıdaki grafiğin 2016 Temmuz ayından önceki bölümü bize perakendecinin fiyat artışı yapabildiğini, buna karşılık üreticinin perakendeciye satış yaparken maliyetlerine gelen artışları fiyatlarına yansıtamadığını gösteriyor. 2016 Temmuz ayından sonra ise bu kez üreticinin yeterince fiyat artışı yaptığını ama perakendecinin bunu aynı şekilde tüketiciye yansıtamadığını gösteriyor. Grafiğe göre 2015 Ocak ile 2016 Temmuz ayları arasındaki dönemde üretici kârından fedakârlık ederken 2016 Temmuz ayından sonra bu fedakârlığı gidermiş, bu kez perakendeci </w:t>
      </w:r>
      <w:r w:rsidRPr="00001F61">
        <w:rPr>
          <w:rFonts w:ascii="Arial" w:eastAsia="Times New Roman" w:hAnsi="Arial" w:cs="Arial"/>
          <w:color w:val="000000"/>
          <w:sz w:val="21"/>
          <w:szCs w:val="21"/>
          <w:lang w:eastAsia="tr-TR"/>
        </w:rPr>
        <w:lastRenderedPageBreak/>
        <w:t>kârdan fedakârlık etmeye başlamış. Bu durumda normal koşullarda ileride yine perakendecilerin fiyatları artıracağını ve TÜFE’nin yükseleceğini tahmin edebiliriz.</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jc w:val="left"/>
        <w:rPr>
          <w:rFonts w:ascii="Arial" w:eastAsia="Times New Roman" w:hAnsi="Arial" w:cs="Arial"/>
          <w:color w:val="000000"/>
          <w:sz w:val="21"/>
          <w:szCs w:val="21"/>
          <w:lang w:eastAsia="tr-TR"/>
        </w:rPr>
      </w:pPr>
      <w:r w:rsidRPr="00001F61">
        <w:rPr>
          <w:rFonts w:ascii="Arial" w:eastAsia="Times New Roman" w:hAnsi="Arial" w:cs="Arial"/>
          <w:b/>
          <w:bCs/>
          <w:color w:val="000000"/>
          <w:sz w:val="21"/>
          <w:szCs w:val="21"/>
          <w:lang w:eastAsia="tr-TR"/>
        </w:rPr>
        <w:t>İkinci Soru:</w:t>
      </w: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Merkez Bankası yasasında belirlenen fiyat istikrarını sağlamak (enflasyonu denetim altında tutmak ve deflasyona izin vermemek) amacına ulaşmak için enflasyon hedeflemesi uyguluyor ve para politikasını sıkı tuttuğunu açıklıyor. Bu çerçevede bakıldığında dünyada yüksek faiz oranlarından birisini uyguluyor (2017 yılının bugüne kadarki ortalaması yüzde 11,2, son 3 ayın ortalaması yüzde 11,96.) Buna karşılık enflasyon yükseliyor. Bunun nedeni nedir?</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jc w:val="left"/>
        <w:rPr>
          <w:rFonts w:ascii="Arial" w:eastAsia="Times New Roman" w:hAnsi="Arial" w:cs="Arial"/>
          <w:color w:val="000000"/>
          <w:sz w:val="21"/>
          <w:szCs w:val="21"/>
          <w:lang w:eastAsia="tr-TR"/>
        </w:rPr>
      </w:pPr>
      <w:r w:rsidRPr="00001F61">
        <w:rPr>
          <w:rFonts w:ascii="Arial" w:eastAsia="Times New Roman" w:hAnsi="Arial" w:cs="Arial"/>
          <w:b/>
          <w:bCs/>
          <w:color w:val="000000"/>
          <w:sz w:val="21"/>
          <w:szCs w:val="21"/>
          <w:lang w:eastAsia="tr-TR"/>
        </w:rPr>
        <w:t>İkinci Soruya Yanıt:</w:t>
      </w: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Aşağıdaki grafik yılbaşından bu yana, TÜFE, C Endeksindeki aylık değişimleri ve Merkez Bankası’nın ortalama borç verme faizinin aylık ortalama oranlarındaki değişimi bir arada gösteriyor. C Endeksi; TÜFE endeksinden enerji, gıda ve alkolsüz içecekler, alkollü içkiler ile tütün ürünleri ve altın çıkarıldıktan sonra kalan mal ve hizmetlerin fiyatlarının oluşturduğu bir endekstir. Bu endeksle hesaplanan enflasyona çekirdek enflasyon deniyor. </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Pr>
          <w:rFonts w:ascii="Arial" w:eastAsia="Times New Roman" w:hAnsi="Arial" w:cs="Arial"/>
          <w:noProof/>
          <w:color w:val="0B5394"/>
          <w:sz w:val="21"/>
          <w:szCs w:val="21"/>
          <w:lang w:eastAsia="tr-TR"/>
        </w:rPr>
        <w:drawing>
          <wp:inline distT="0" distB="0" distL="0" distR="0">
            <wp:extent cx="4448175" cy="2657475"/>
            <wp:effectExtent l="0" t="0" r="9525" b="9525"/>
            <wp:docPr id="1" name="Picture 1" descr="https://1.bp.blogspot.com/-XQHlxPJKOsQ/Wa_7CMkTTZI/AAAAAAAARcQ/GvSDdmSC9gskcr2L9tzTKxSp3qav95mbQCLcBGAs/s1600/Ekran%2BAl%25C4%25B1nt%25C4%25B1s%25C4%25B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XQHlxPJKOsQ/Wa_7CMkTTZI/AAAAAAAARcQ/GvSDdmSC9gskcr2L9tzTKxSp3qav95mbQCLcBGAs/s1600/Ekran%2BAl%25C4%25B1nt%25C4%25B1s%25C4%25B1.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2657475"/>
                    </a:xfrm>
                    <a:prstGeom prst="rect">
                      <a:avLst/>
                    </a:prstGeom>
                    <a:noFill/>
                    <a:ln>
                      <a:noFill/>
                    </a:ln>
                  </pic:spPr>
                </pic:pic>
              </a:graphicData>
            </a:graphic>
          </wp:inline>
        </w:drawing>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Yukarıda verdiğimiz C Endeksi, bize Merkez Bankası’nın uyguladığı para politikasının asıl etkili olması gereken fiyat sepetini tanımlıyor. Çünkü C Endeksi, Merkez Bankası’nın etki alanı dışında kalan, bir anlamda para politikasından bağımsız değişken olarak tanımlanabilecek olan fiyatları dışarıda bırakıyor. Merkez Bankası’nın yurt dışında belirlenen enerji fiyatlarına (petrol, doğalgaz fiyatları gibi) para politikası kanalıyla etkide bulunması mümkün değildir. Alkollü içkiler ve tütün ürünlerinin fiyatları da kamu kesimi eliyle belirlendiği için Merkez Bankası’nın burada da bir etkisi olmuyor. O halde bunları sepet dışında tutan bir endeks hesabında sepette kalan ürünleri Merkez Bankası para politikasının net bir şekilde etkilemesi gerekiyor. Grafikten görüleceği üzere Merkez Bankası faizini de artırdığı halde C Endeksi Mart ve Haziran ayları arasında artma eğilimi göstermediği halde son üç ayda yeniden artışa geçmiş bulunuyor. Bu durumda iki meseleden birisi söz konusu demektir: (1) Merkez Bankası’nın enflasyonu düşürmek için uyguladığı faiz oranı yeterli değildir. (2) TL, değer kaybettiği için bu kayıplar ithalat yoluyla iç fiyatlara yansıyor demektir. Bu ikisinden hangisinin geçerli olduğunu ya da hangisinin ağırlıklı olduğunu önümüzdeki dönemde görebileceğiz. Çünkü TL değer kazanmaya başlamış bulunuyor.</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jc w:val="left"/>
        <w:rPr>
          <w:rFonts w:ascii="Arial" w:eastAsia="Times New Roman" w:hAnsi="Arial" w:cs="Arial"/>
          <w:color w:val="000000"/>
          <w:sz w:val="21"/>
          <w:szCs w:val="21"/>
          <w:lang w:eastAsia="tr-TR"/>
        </w:rPr>
      </w:pPr>
      <w:r w:rsidRPr="00001F61">
        <w:rPr>
          <w:rFonts w:ascii="Arial" w:eastAsia="Times New Roman" w:hAnsi="Arial" w:cs="Arial"/>
          <w:b/>
          <w:bCs/>
          <w:color w:val="000000"/>
          <w:sz w:val="21"/>
          <w:szCs w:val="21"/>
          <w:lang w:eastAsia="tr-TR"/>
        </w:rPr>
        <w:t>Üçüncü Soru:</w:t>
      </w: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Enflasyon yılın geri kalan döneminde nasıl bir seyir izler?</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jc w:val="left"/>
        <w:rPr>
          <w:rFonts w:ascii="Arial" w:eastAsia="Times New Roman" w:hAnsi="Arial" w:cs="Arial"/>
          <w:color w:val="000000"/>
          <w:sz w:val="21"/>
          <w:szCs w:val="21"/>
          <w:lang w:eastAsia="tr-TR"/>
        </w:rPr>
      </w:pPr>
      <w:r w:rsidRPr="00001F61">
        <w:rPr>
          <w:rFonts w:ascii="Arial" w:eastAsia="Times New Roman" w:hAnsi="Arial" w:cs="Arial"/>
          <w:b/>
          <w:bCs/>
          <w:color w:val="000000"/>
          <w:sz w:val="21"/>
          <w:szCs w:val="21"/>
          <w:lang w:eastAsia="tr-TR"/>
        </w:rPr>
        <w:t>Üçüncü Soruya Yanıt:</w:t>
      </w: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 xml:space="preserve">Aşağıdaki tablo çok basit bir hesabın sonuçlarını gösteriyor. Tabloda 2015 ve 2016 yıllarının tamamına ve 2017 yılının ilk sekiz ayına ilişkin aylık ve 12 aylık TÜFE enflasyon oranları yer </w:t>
      </w:r>
      <w:r w:rsidRPr="00001F61">
        <w:rPr>
          <w:rFonts w:ascii="Arial" w:eastAsia="Times New Roman" w:hAnsi="Arial" w:cs="Arial"/>
          <w:color w:val="000000"/>
          <w:sz w:val="21"/>
          <w:szCs w:val="21"/>
          <w:lang w:eastAsia="tr-TR"/>
        </w:rPr>
        <w:lastRenderedPageBreak/>
        <w:t>alıyor. Tabloda gri renkle gösterilen bölümler 2017 yılının henüz tamamlanmamış aylarına ilişkin aylık ve 12 aylık enflasyon oranlarının tahminlerini sergiliyor.</w:t>
      </w:r>
    </w:p>
    <w:p w:rsidR="00001F61" w:rsidRPr="00001F61" w:rsidRDefault="00001F61" w:rsidP="00001F61">
      <w:pPr>
        <w:shd w:val="clear" w:color="auto" w:fill="FFFFFF"/>
        <w:rPr>
          <w:rFonts w:ascii="Arial" w:eastAsia="Times New Roman" w:hAnsi="Arial" w:cs="Arial"/>
          <w:color w:val="000000"/>
          <w:sz w:val="21"/>
          <w:szCs w:val="21"/>
          <w:lang w:eastAsia="tr-TR"/>
        </w:rPr>
      </w:pPr>
    </w:p>
    <w:tbl>
      <w:tblPr>
        <w:tblW w:w="0" w:type="auto"/>
        <w:tblCellMar>
          <w:left w:w="0" w:type="dxa"/>
          <w:right w:w="0" w:type="dxa"/>
        </w:tblCellMar>
        <w:tblLook w:val="04A0" w:firstRow="1" w:lastRow="0" w:firstColumn="1" w:lastColumn="0" w:noHBand="0" w:noVBand="1"/>
      </w:tblPr>
      <w:tblGrid>
        <w:gridCol w:w="839"/>
        <w:gridCol w:w="1439"/>
        <w:gridCol w:w="1352"/>
        <w:gridCol w:w="1439"/>
        <w:gridCol w:w="1352"/>
        <w:gridCol w:w="1439"/>
        <w:gridCol w:w="1352"/>
      </w:tblGrid>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divId w:val="534195464"/>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Aylar</w:t>
            </w:r>
          </w:p>
        </w:tc>
        <w:tc>
          <w:tcPr>
            <w:tcW w:w="7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AY 2015</w:t>
            </w:r>
          </w:p>
        </w:tc>
        <w:tc>
          <w:tcPr>
            <w:tcW w:w="7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12 2015</w:t>
            </w:r>
          </w:p>
        </w:tc>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AY 2016</w:t>
            </w:r>
          </w:p>
        </w:tc>
        <w:tc>
          <w:tcPr>
            <w:tcW w:w="7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12 2016</w:t>
            </w:r>
          </w:p>
        </w:tc>
        <w:tc>
          <w:tcPr>
            <w:tcW w:w="7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AY 2017</w:t>
            </w:r>
          </w:p>
        </w:tc>
        <w:tc>
          <w:tcPr>
            <w:tcW w:w="7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12 2017</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Ocak</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1,10</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7,24</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1,82</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9,58</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2,46</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9,22</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Şubat</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0,71</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7,55</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-0,02</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8,78</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0,81</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10,13</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Mart</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1,13</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7,61</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-0,04</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7,46</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1,02</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11,29</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Nisan</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1,63</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7,91</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0,78</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6,57</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1,31</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11,87</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Mayıs</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0,56</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8,09</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0,58</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6,58</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0,45</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11,72</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Haziran</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-0,51</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7,20</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0,47</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7,64</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-0,27</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10,90</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Temmuz</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0,09</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6,81</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1,16</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8,79</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0,15</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9,79</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Ağustos</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0,40</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7,14</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-0,29</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8,05</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0,52</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10,68</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Eylül</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0,89</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7,95</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0,18</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7,28</w:t>
            </w:r>
          </w:p>
        </w:tc>
        <w:tc>
          <w:tcPr>
            <w:tcW w:w="75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0,54</w:t>
            </w:r>
          </w:p>
        </w:tc>
        <w:tc>
          <w:tcPr>
            <w:tcW w:w="70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11,04</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Ekim</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1,55</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7,58</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1,44</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7,16</w:t>
            </w:r>
          </w:p>
        </w:tc>
        <w:tc>
          <w:tcPr>
            <w:tcW w:w="75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1,50</w:t>
            </w:r>
          </w:p>
        </w:tc>
        <w:tc>
          <w:tcPr>
            <w:tcW w:w="70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11,09</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Kasım</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0,67</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8,10</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0,52</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7,00</w:t>
            </w:r>
          </w:p>
        </w:tc>
        <w:tc>
          <w:tcPr>
            <w:tcW w:w="75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0,60</w:t>
            </w:r>
          </w:p>
        </w:tc>
        <w:tc>
          <w:tcPr>
            <w:tcW w:w="70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11,17</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Aralık</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0,21</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8,81</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1,64</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8,53</w:t>
            </w:r>
          </w:p>
        </w:tc>
        <w:tc>
          <w:tcPr>
            <w:tcW w:w="75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0,93</w:t>
            </w:r>
          </w:p>
        </w:tc>
        <w:tc>
          <w:tcPr>
            <w:tcW w:w="70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10,45</w:t>
            </w:r>
          </w:p>
        </w:tc>
      </w:tr>
    </w:tbl>
    <w:p w:rsidR="00001F61" w:rsidRPr="00001F61" w:rsidRDefault="00001F61" w:rsidP="00001F61">
      <w:pPr>
        <w:shd w:val="clear" w:color="auto" w:fill="FFFFFF"/>
        <w:jc w:val="left"/>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Burada gri alanda yer alan tahminler son derecede basit bir temele dayanıyor. Son iki yılın ilgili aylarının enflasyon gerçekleşmesinin ortalamasını 2017 yılının ilgili ayında gerçekleşmiş gibi varsayarak aylık tahmin olarak yerine koyuyoruz ve 2016 yılının ilgili ayının enflasyon oranını 12 aylık toplamdan düşerek bu bulduğumuz ortalamayı ekliyoruz. Bu durumda yılsonu enflasyonu yüzde 10,45 olarak çıkıyor (bu hesaplamanın ayrıntısını merak edenler aşağıdaki ek bölümüne bakabilir.)</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Bu tahminin içinde kurda olabilecek değişimeler, jeopolitik ve siyasal gelişmeler, Fed’in kararları veya kararsızlıkları yok. Öte yandan her yılın kendisine özgü farklı etkiler taşıdığını dikkate almak gerekir. Dolar / TL kuru 3,40’larda devam ederse veya 3,60’lara çıkarsa ya da 3,30’lara inerse yılsonunda farklı enflasyon oranı çıkar. O nedenle bu tahminleri birer eskiz çalışması gibi görmek uygun olur. (Her şeyden önce bu tahminleri doğru yapabilmek için oranlarla değil endeks sayılarıyla hesaplama yapmak gerekir. Kafa karışıklığı yaratmamak için bu kadar basite indirgedim.)</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spacing w:after="240"/>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Yılsonundaki gerçekleşmenin bu tablodaki yılsonu oranının bir puan altında olmasını beklemek, Fed’in faiz artırımında kararsız kalışına bakarak, makul bir tahmin gibi duruyor.</w:t>
      </w:r>
      <w:r w:rsidRPr="00001F61">
        <w:rPr>
          <w:rFonts w:ascii="Arial" w:eastAsia="Times New Roman" w:hAnsi="Arial" w:cs="Arial"/>
          <w:color w:val="000000"/>
          <w:sz w:val="21"/>
          <w:szCs w:val="21"/>
          <w:lang w:eastAsia="tr-TR"/>
        </w:rPr>
        <w:br/>
      </w: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b/>
          <w:bCs/>
          <w:color w:val="000000"/>
          <w:sz w:val="21"/>
          <w:szCs w:val="21"/>
          <w:lang w:eastAsia="tr-TR"/>
        </w:rPr>
        <w:t>Ek: Enflasyonda kalan aylara ilişkin hesaplamanın ayrıntısı</w:t>
      </w: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Ağustos ayına ilişkin olarak açıklanan 12 aylık enflasyonunu (Eylül 2016’dan başlayıp Ağustos 2017’ye kadarki 12 aylık birikimli enflasyon) TÜİK yüzde 10,68 olarak açıkladı. Yani aşağıdaki tablonun ilk sırasını biliyoruz. Sonraki aylara ilişkin olarak da 2015 ve 2016 yıllarına ilişkin verileri biliyoruz. O zaman aşağıdaki tablonun geriyle taranmış kısımları dışındaki bilgiler elimizde mevcut.</w:t>
      </w:r>
    </w:p>
    <w:tbl>
      <w:tblPr>
        <w:tblW w:w="0" w:type="auto"/>
        <w:tblCellMar>
          <w:left w:w="0" w:type="dxa"/>
          <w:right w:w="0" w:type="dxa"/>
        </w:tblCellMar>
        <w:tblLook w:val="04A0" w:firstRow="1" w:lastRow="0" w:firstColumn="1" w:lastColumn="0" w:noHBand="0" w:noVBand="1"/>
      </w:tblPr>
      <w:tblGrid>
        <w:gridCol w:w="788"/>
        <w:gridCol w:w="1448"/>
        <w:gridCol w:w="1360"/>
        <w:gridCol w:w="1448"/>
        <w:gridCol w:w="1360"/>
        <w:gridCol w:w="1448"/>
        <w:gridCol w:w="1360"/>
      </w:tblGrid>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divId w:val="356083478"/>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Aylar</w:t>
            </w:r>
          </w:p>
        </w:tc>
        <w:tc>
          <w:tcPr>
            <w:tcW w:w="7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AY 2015</w:t>
            </w:r>
          </w:p>
        </w:tc>
        <w:tc>
          <w:tcPr>
            <w:tcW w:w="7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12 2015</w:t>
            </w:r>
          </w:p>
        </w:tc>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AY 2016</w:t>
            </w:r>
          </w:p>
        </w:tc>
        <w:tc>
          <w:tcPr>
            <w:tcW w:w="7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12 2016</w:t>
            </w:r>
          </w:p>
        </w:tc>
        <w:tc>
          <w:tcPr>
            <w:tcW w:w="7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AY 2017</w:t>
            </w:r>
          </w:p>
        </w:tc>
        <w:tc>
          <w:tcPr>
            <w:tcW w:w="7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b/>
                <w:bCs/>
                <w:lang w:eastAsia="tr-TR"/>
              </w:rPr>
              <w:t>TÜFE 12 2017</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Ağustos</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0,40</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7,14</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-0,29</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8,05</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0,52</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10,68</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Eylül</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0,89</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7,95</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0,18</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7,28</w:t>
            </w:r>
          </w:p>
        </w:tc>
        <w:tc>
          <w:tcPr>
            <w:tcW w:w="75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0,54</w:t>
            </w:r>
          </w:p>
        </w:tc>
        <w:tc>
          <w:tcPr>
            <w:tcW w:w="70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11,04</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Ekim</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1,55</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7,58</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1,44</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7,16</w:t>
            </w:r>
          </w:p>
        </w:tc>
        <w:tc>
          <w:tcPr>
            <w:tcW w:w="75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1,50</w:t>
            </w:r>
          </w:p>
        </w:tc>
        <w:tc>
          <w:tcPr>
            <w:tcW w:w="70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11,09</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Kasım</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0,67</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8,10</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0,52</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7,00</w:t>
            </w:r>
          </w:p>
        </w:tc>
        <w:tc>
          <w:tcPr>
            <w:tcW w:w="75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0,60</w:t>
            </w:r>
          </w:p>
        </w:tc>
        <w:tc>
          <w:tcPr>
            <w:tcW w:w="70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11,17</w:t>
            </w:r>
          </w:p>
        </w:tc>
      </w:tr>
      <w:tr w:rsidR="00001F61" w:rsidRPr="00001F61" w:rsidTr="00001F61">
        <w:trPr>
          <w:trHeight w:val="300"/>
        </w:trPr>
        <w:tc>
          <w:tcPr>
            <w:tcW w:w="6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left"/>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lastRenderedPageBreak/>
              <w:t>Aralık</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0,21</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8,81</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1,64</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8,53</w:t>
            </w:r>
          </w:p>
        </w:tc>
        <w:tc>
          <w:tcPr>
            <w:tcW w:w="75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0,93</w:t>
            </w:r>
          </w:p>
        </w:tc>
        <w:tc>
          <w:tcPr>
            <w:tcW w:w="700"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001F61" w:rsidRPr="00001F61" w:rsidRDefault="00001F61" w:rsidP="00001F61">
            <w:pPr>
              <w:jc w:val="center"/>
              <w:rPr>
                <w:rFonts w:ascii="Times New Roman" w:eastAsia="Times New Roman" w:hAnsi="Times New Roman" w:cs="Times New Roman"/>
                <w:sz w:val="24"/>
                <w:szCs w:val="24"/>
                <w:lang w:eastAsia="tr-TR"/>
              </w:rPr>
            </w:pPr>
            <w:r w:rsidRPr="00001F61">
              <w:rPr>
                <w:rFonts w:ascii="Times New Roman" w:eastAsia="Times New Roman" w:hAnsi="Times New Roman" w:cs="Times New Roman"/>
                <w:lang w:eastAsia="tr-TR"/>
              </w:rPr>
              <w:t>10,45</w:t>
            </w:r>
          </w:p>
        </w:tc>
      </w:tr>
    </w:tbl>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Eylül ayı aylık enflasyonunu 2015 ve 2016 yıllarının Eylül ayı aylık enflasyon oranlarının ortalamasını alarak buluyoruz: (0,89 + 0,18) / 2 = 0,54. Bunu TÜFE AY 2017 sütununun Eylül sırasına yazıyoruz. Sonra Ağustos 12 aylık TÜFE’den 2016 yılı Eylül aylık enflasyonunu düşüp bunu ekliyoruz: (10,68 – 0,18) + 0,54 = 11,04. Bu oran Eylül ayı 12 aylık enflasyon tahminimiz olarak karşımıza çıkıyor. Burada aylık enflasyonu bulurken 2 yıllık ortalama yerine 5 yıllık ortalama da kullanabiliriz. Tercih size kalıyor.</w:t>
      </w: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p>
    <w:p w:rsidR="00001F61" w:rsidRPr="00001F61" w:rsidRDefault="00001F61" w:rsidP="00001F61">
      <w:pPr>
        <w:shd w:val="clear" w:color="auto" w:fill="FFFFFF"/>
        <w:rPr>
          <w:rFonts w:ascii="Arial" w:eastAsia="Times New Roman" w:hAnsi="Arial" w:cs="Arial"/>
          <w:color w:val="000000"/>
          <w:sz w:val="21"/>
          <w:szCs w:val="21"/>
          <w:lang w:eastAsia="tr-TR"/>
        </w:rPr>
      </w:pPr>
      <w:r w:rsidRPr="00001F61">
        <w:rPr>
          <w:rFonts w:ascii="Arial" w:eastAsia="Times New Roman" w:hAnsi="Arial" w:cs="Arial"/>
          <w:color w:val="000000"/>
          <w:sz w:val="21"/>
          <w:szCs w:val="21"/>
          <w:lang w:eastAsia="tr-TR"/>
        </w:rPr>
        <w:t>Bu hesabın çok daha doğrusu oranların yerine TÜFE endeks sayılarını koyarak yapılabilir. Ben basit olması için böyle yaptım.</w:t>
      </w:r>
    </w:p>
    <w:p w:rsidR="00001F61" w:rsidRDefault="00001F61"/>
    <w:sectPr w:rsidR="00001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61"/>
    <w:rsid w:val="00001F61"/>
    <w:rsid w:val="0002124D"/>
    <w:rsid w:val="00116F84"/>
    <w:rsid w:val="002031BE"/>
    <w:rsid w:val="004A64E2"/>
    <w:rsid w:val="005B64AB"/>
    <w:rsid w:val="00640283"/>
    <w:rsid w:val="007D0461"/>
    <w:rsid w:val="00843042"/>
    <w:rsid w:val="00A2150A"/>
    <w:rsid w:val="00D60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1F61"/>
    <w:pPr>
      <w:spacing w:before="100" w:beforeAutospacing="1" w:after="100" w:afterAutospacing="1"/>
      <w:jc w:val="left"/>
      <w:outlineLvl w:val="1"/>
    </w:pPr>
    <w:rPr>
      <w:rFonts w:ascii="Times New Roman" w:eastAsia="Times New Roman" w:hAnsi="Times New Roman" w:cs="Times New Roman"/>
      <w:b/>
      <w:bCs/>
      <w:sz w:val="36"/>
      <w:szCs w:val="36"/>
      <w:lang w:eastAsia="tr-TR"/>
    </w:rPr>
  </w:style>
  <w:style w:type="paragraph" w:styleId="Heading3">
    <w:name w:val="heading 3"/>
    <w:basedOn w:val="Normal"/>
    <w:link w:val="Heading3Char"/>
    <w:uiPriority w:val="9"/>
    <w:qFormat/>
    <w:rsid w:val="00001F61"/>
    <w:pPr>
      <w:spacing w:before="100" w:beforeAutospacing="1" w:after="100" w:afterAutospacing="1"/>
      <w:jc w:val="left"/>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F61"/>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001F61"/>
    <w:rPr>
      <w:rFonts w:ascii="Times New Roman" w:eastAsia="Times New Roman" w:hAnsi="Times New Roman" w:cs="Times New Roman"/>
      <w:b/>
      <w:bCs/>
      <w:sz w:val="27"/>
      <w:szCs w:val="27"/>
      <w:lang w:eastAsia="tr-TR"/>
    </w:rPr>
  </w:style>
  <w:style w:type="paragraph" w:styleId="BalloonText">
    <w:name w:val="Balloon Text"/>
    <w:basedOn w:val="Normal"/>
    <w:link w:val="BalloonTextChar"/>
    <w:uiPriority w:val="99"/>
    <w:semiHidden/>
    <w:unhideWhenUsed/>
    <w:rsid w:val="00001F61"/>
    <w:rPr>
      <w:rFonts w:ascii="Tahoma" w:hAnsi="Tahoma" w:cs="Tahoma"/>
      <w:sz w:val="16"/>
      <w:szCs w:val="16"/>
    </w:rPr>
  </w:style>
  <w:style w:type="character" w:customStyle="1" w:styleId="BalloonTextChar">
    <w:name w:val="Balloon Text Char"/>
    <w:basedOn w:val="DefaultParagraphFont"/>
    <w:link w:val="BalloonText"/>
    <w:uiPriority w:val="99"/>
    <w:semiHidden/>
    <w:rsid w:val="00001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1F61"/>
    <w:pPr>
      <w:spacing w:before="100" w:beforeAutospacing="1" w:after="100" w:afterAutospacing="1"/>
      <w:jc w:val="left"/>
      <w:outlineLvl w:val="1"/>
    </w:pPr>
    <w:rPr>
      <w:rFonts w:ascii="Times New Roman" w:eastAsia="Times New Roman" w:hAnsi="Times New Roman" w:cs="Times New Roman"/>
      <w:b/>
      <w:bCs/>
      <w:sz w:val="36"/>
      <w:szCs w:val="36"/>
      <w:lang w:eastAsia="tr-TR"/>
    </w:rPr>
  </w:style>
  <w:style w:type="paragraph" w:styleId="Heading3">
    <w:name w:val="heading 3"/>
    <w:basedOn w:val="Normal"/>
    <w:link w:val="Heading3Char"/>
    <w:uiPriority w:val="9"/>
    <w:qFormat/>
    <w:rsid w:val="00001F61"/>
    <w:pPr>
      <w:spacing w:before="100" w:beforeAutospacing="1" w:after="100" w:afterAutospacing="1"/>
      <w:jc w:val="left"/>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F61"/>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001F61"/>
    <w:rPr>
      <w:rFonts w:ascii="Times New Roman" w:eastAsia="Times New Roman" w:hAnsi="Times New Roman" w:cs="Times New Roman"/>
      <w:b/>
      <w:bCs/>
      <w:sz w:val="27"/>
      <w:szCs w:val="27"/>
      <w:lang w:eastAsia="tr-TR"/>
    </w:rPr>
  </w:style>
  <w:style w:type="paragraph" w:styleId="BalloonText">
    <w:name w:val="Balloon Text"/>
    <w:basedOn w:val="Normal"/>
    <w:link w:val="BalloonTextChar"/>
    <w:uiPriority w:val="99"/>
    <w:semiHidden/>
    <w:unhideWhenUsed/>
    <w:rsid w:val="00001F61"/>
    <w:rPr>
      <w:rFonts w:ascii="Tahoma" w:hAnsi="Tahoma" w:cs="Tahoma"/>
      <w:sz w:val="16"/>
      <w:szCs w:val="16"/>
    </w:rPr>
  </w:style>
  <w:style w:type="character" w:customStyle="1" w:styleId="BalloonTextChar">
    <w:name w:val="Balloon Text Char"/>
    <w:basedOn w:val="DefaultParagraphFont"/>
    <w:link w:val="BalloonText"/>
    <w:uiPriority w:val="99"/>
    <w:semiHidden/>
    <w:rsid w:val="00001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6110">
      <w:bodyDiv w:val="1"/>
      <w:marLeft w:val="0"/>
      <w:marRight w:val="0"/>
      <w:marTop w:val="0"/>
      <w:marBottom w:val="0"/>
      <w:divBdr>
        <w:top w:val="none" w:sz="0" w:space="0" w:color="auto"/>
        <w:left w:val="none" w:sz="0" w:space="0" w:color="auto"/>
        <w:bottom w:val="none" w:sz="0" w:space="0" w:color="auto"/>
        <w:right w:val="none" w:sz="0" w:space="0" w:color="auto"/>
      </w:divBdr>
      <w:divsChild>
        <w:div w:id="756363737">
          <w:marLeft w:val="0"/>
          <w:marRight w:val="0"/>
          <w:marTop w:val="0"/>
          <w:marBottom w:val="0"/>
          <w:divBdr>
            <w:top w:val="none" w:sz="0" w:space="0" w:color="auto"/>
            <w:left w:val="none" w:sz="0" w:space="0" w:color="auto"/>
            <w:bottom w:val="none" w:sz="0" w:space="0" w:color="auto"/>
            <w:right w:val="none" w:sz="0" w:space="0" w:color="auto"/>
          </w:divBdr>
          <w:divsChild>
            <w:div w:id="1700424849">
              <w:marLeft w:val="0"/>
              <w:marRight w:val="0"/>
              <w:marTop w:val="0"/>
              <w:marBottom w:val="0"/>
              <w:divBdr>
                <w:top w:val="none" w:sz="0" w:space="0" w:color="auto"/>
                <w:left w:val="none" w:sz="0" w:space="0" w:color="auto"/>
                <w:bottom w:val="none" w:sz="0" w:space="0" w:color="auto"/>
                <w:right w:val="none" w:sz="0" w:space="0" w:color="auto"/>
              </w:divBdr>
            </w:div>
          </w:divsChild>
        </w:div>
        <w:div w:id="952133189">
          <w:marLeft w:val="0"/>
          <w:marRight w:val="0"/>
          <w:marTop w:val="0"/>
          <w:marBottom w:val="0"/>
          <w:divBdr>
            <w:top w:val="none" w:sz="0" w:space="0" w:color="auto"/>
            <w:left w:val="none" w:sz="0" w:space="0" w:color="auto"/>
            <w:bottom w:val="none" w:sz="0" w:space="0" w:color="auto"/>
            <w:right w:val="none" w:sz="0" w:space="0" w:color="auto"/>
          </w:divBdr>
          <w:divsChild>
            <w:div w:id="222065837">
              <w:marLeft w:val="0"/>
              <w:marRight w:val="0"/>
              <w:marTop w:val="0"/>
              <w:marBottom w:val="0"/>
              <w:divBdr>
                <w:top w:val="none" w:sz="0" w:space="0" w:color="auto"/>
                <w:left w:val="none" w:sz="0" w:space="0" w:color="auto"/>
                <w:bottom w:val="none" w:sz="0" w:space="0" w:color="auto"/>
                <w:right w:val="none" w:sz="0" w:space="0" w:color="auto"/>
              </w:divBdr>
              <w:divsChild>
                <w:div w:id="1236665528">
                  <w:marLeft w:val="0"/>
                  <w:marRight w:val="0"/>
                  <w:marTop w:val="0"/>
                  <w:marBottom w:val="0"/>
                  <w:divBdr>
                    <w:top w:val="none" w:sz="0" w:space="0" w:color="auto"/>
                    <w:left w:val="none" w:sz="0" w:space="0" w:color="auto"/>
                    <w:bottom w:val="none" w:sz="0" w:space="0" w:color="auto"/>
                    <w:right w:val="none" w:sz="0" w:space="0" w:color="auto"/>
                  </w:divBdr>
                  <w:divsChild>
                    <w:div w:id="332491178">
                      <w:marLeft w:val="240"/>
                      <w:marRight w:val="240"/>
                      <w:marTop w:val="0"/>
                      <w:marBottom w:val="0"/>
                      <w:divBdr>
                        <w:top w:val="none" w:sz="0" w:space="0" w:color="auto"/>
                        <w:left w:val="none" w:sz="0" w:space="0" w:color="auto"/>
                        <w:bottom w:val="none" w:sz="0" w:space="0" w:color="auto"/>
                        <w:right w:val="none" w:sz="0" w:space="0" w:color="auto"/>
                      </w:divBdr>
                      <w:divsChild>
                        <w:div w:id="681052678">
                          <w:marLeft w:val="0"/>
                          <w:marRight w:val="0"/>
                          <w:marTop w:val="0"/>
                          <w:marBottom w:val="450"/>
                          <w:divBdr>
                            <w:top w:val="none" w:sz="0" w:space="0" w:color="auto"/>
                            <w:left w:val="none" w:sz="0" w:space="0" w:color="auto"/>
                            <w:bottom w:val="none" w:sz="0" w:space="0" w:color="auto"/>
                            <w:right w:val="none" w:sz="0" w:space="0" w:color="auto"/>
                          </w:divBdr>
                          <w:divsChild>
                            <w:div w:id="517887396">
                              <w:marLeft w:val="0"/>
                              <w:marRight w:val="0"/>
                              <w:marTop w:val="0"/>
                              <w:marBottom w:val="0"/>
                              <w:divBdr>
                                <w:top w:val="none" w:sz="0" w:space="0" w:color="auto"/>
                                <w:left w:val="none" w:sz="0" w:space="0" w:color="auto"/>
                                <w:bottom w:val="none" w:sz="0" w:space="0" w:color="auto"/>
                                <w:right w:val="none" w:sz="0" w:space="0" w:color="auto"/>
                              </w:divBdr>
                              <w:divsChild>
                                <w:div w:id="1018502570">
                                  <w:marLeft w:val="0"/>
                                  <w:marRight w:val="0"/>
                                  <w:marTop w:val="0"/>
                                  <w:marBottom w:val="0"/>
                                  <w:divBdr>
                                    <w:top w:val="none" w:sz="0" w:space="0" w:color="auto"/>
                                    <w:left w:val="none" w:sz="0" w:space="0" w:color="auto"/>
                                    <w:bottom w:val="none" w:sz="0" w:space="0" w:color="auto"/>
                                    <w:right w:val="none" w:sz="0" w:space="0" w:color="auto"/>
                                  </w:divBdr>
                                  <w:divsChild>
                                    <w:div w:id="431315656">
                                      <w:marLeft w:val="0"/>
                                      <w:marRight w:val="0"/>
                                      <w:marTop w:val="0"/>
                                      <w:marBottom w:val="0"/>
                                      <w:divBdr>
                                        <w:top w:val="none" w:sz="0" w:space="0" w:color="auto"/>
                                        <w:left w:val="none" w:sz="0" w:space="0" w:color="auto"/>
                                        <w:bottom w:val="none" w:sz="0" w:space="0" w:color="auto"/>
                                        <w:right w:val="none" w:sz="0" w:space="0" w:color="auto"/>
                                      </w:divBdr>
                                      <w:divsChild>
                                        <w:div w:id="1634871786">
                                          <w:marLeft w:val="0"/>
                                          <w:marRight w:val="0"/>
                                          <w:marTop w:val="0"/>
                                          <w:marBottom w:val="0"/>
                                          <w:divBdr>
                                            <w:top w:val="none" w:sz="0" w:space="0" w:color="auto"/>
                                            <w:left w:val="none" w:sz="0" w:space="0" w:color="auto"/>
                                            <w:bottom w:val="none" w:sz="0" w:space="0" w:color="auto"/>
                                            <w:right w:val="none" w:sz="0" w:space="0" w:color="auto"/>
                                          </w:divBdr>
                                          <w:divsChild>
                                            <w:div w:id="1073086910">
                                              <w:marLeft w:val="0"/>
                                              <w:marRight w:val="0"/>
                                              <w:marTop w:val="0"/>
                                              <w:marBottom w:val="675"/>
                                              <w:divBdr>
                                                <w:top w:val="none" w:sz="0" w:space="0" w:color="auto"/>
                                                <w:left w:val="none" w:sz="0" w:space="0" w:color="auto"/>
                                                <w:bottom w:val="none" w:sz="0" w:space="0" w:color="auto"/>
                                                <w:right w:val="none" w:sz="0" w:space="0" w:color="auto"/>
                                              </w:divBdr>
                                              <w:divsChild>
                                                <w:div w:id="741178305">
                                                  <w:marLeft w:val="0"/>
                                                  <w:marRight w:val="0"/>
                                                  <w:marTop w:val="0"/>
                                                  <w:marBottom w:val="0"/>
                                                  <w:divBdr>
                                                    <w:top w:val="none" w:sz="0" w:space="0" w:color="auto"/>
                                                    <w:left w:val="none" w:sz="0" w:space="0" w:color="auto"/>
                                                    <w:bottom w:val="none" w:sz="0" w:space="0" w:color="auto"/>
                                                    <w:right w:val="none" w:sz="0" w:space="0" w:color="auto"/>
                                                  </w:divBdr>
                                                  <w:divsChild>
                                                    <w:div w:id="1910797715">
                                                      <w:marLeft w:val="0"/>
                                                      <w:marRight w:val="0"/>
                                                      <w:marTop w:val="0"/>
                                                      <w:marBottom w:val="0"/>
                                                      <w:divBdr>
                                                        <w:top w:val="none" w:sz="0" w:space="0" w:color="auto"/>
                                                        <w:left w:val="none" w:sz="0" w:space="0" w:color="auto"/>
                                                        <w:bottom w:val="none" w:sz="0" w:space="0" w:color="auto"/>
                                                        <w:right w:val="none" w:sz="0" w:space="0" w:color="auto"/>
                                                      </w:divBdr>
                                                    </w:div>
                                                    <w:div w:id="724065799">
                                                      <w:marLeft w:val="0"/>
                                                      <w:marRight w:val="0"/>
                                                      <w:marTop w:val="0"/>
                                                      <w:marBottom w:val="0"/>
                                                      <w:divBdr>
                                                        <w:top w:val="none" w:sz="0" w:space="0" w:color="auto"/>
                                                        <w:left w:val="none" w:sz="0" w:space="0" w:color="auto"/>
                                                        <w:bottom w:val="none" w:sz="0" w:space="0" w:color="auto"/>
                                                        <w:right w:val="none" w:sz="0" w:space="0" w:color="auto"/>
                                                      </w:divBdr>
                                                    </w:div>
                                                    <w:div w:id="1151017313">
                                                      <w:marLeft w:val="0"/>
                                                      <w:marRight w:val="0"/>
                                                      <w:marTop w:val="0"/>
                                                      <w:marBottom w:val="0"/>
                                                      <w:divBdr>
                                                        <w:top w:val="none" w:sz="0" w:space="0" w:color="auto"/>
                                                        <w:left w:val="none" w:sz="0" w:space="0" w:color="auto"/>
                                                        <w:bottom w:val="none" w:sz="0" w:space="0" w:color="auto"/>
                                                        <w:right w:val="none" w:sz="0" w:space="0" w:color="auto"/>
                                                      </w:divBdr>
                                                    </w:div>
                                                    <w:div w:id="347682379">
                                                      <w:marLeft w:val="0"/>
                                                      <w:marRight w:val="0"/>
                                                      <w:marTop w:val="0"/>
                                                      <w:marBottom w:val="0"/>
                                                      <w:divBdr>
                                                        <w:top w:val="none" w:sz="0" w:space="0" w:color="auto"/>
                                                        <w:left w:val="none" w:sz="0" w:space="0" w:color="auto"/>
                                                        <w:bottom w:val="none" w:sz="0" w:space="0" w:color="auto"/>
                                                        <w:right w:val="none" w:sz="0" w:space="0" w:color="auto"/>
                                                      </w:divBdr>
                                                    </w:div>
                                                    <w:div w:id="2089843396">
                                                      <w:marLeft w:val="0"/>
                                                      <w:marRight w:val="0"/>
                                                      <w:marTop w:val="0"/>
                                                      <w:marBottom w:val="0"/>
                                                      <w:divBdr>
                                                        <w:top w:val="none" w:sz="0" w:space="0" w:color="auto"/>
                                                        <w:left w:val="none" w:sz="0" w:space="0" w:color="auto"/>
                                                        <w:bottom w:val="none" w:sz="0" w:space="0" w:color="auto"/>
                                                        <w:right w:val="none" w:sz="0" w:space="0" w:color="auto"/>
                                                      </w:divBdr>
                                                    </w:div>
                                                    <w:div w:id="1529491773">
                                                      <w:marLeft w:val="0"/>
                                                      <w:marRight w:val="0"/>
                                                      <w:marTop w:val="0"/>
                                                      <w:marBottom w:val="0"/>
                                                      <w:divBdr>
                                                        <w:top w:val="none" w:sz="0" w:space="0" w:color="auto"/>
                                                        <w:left w:val="none" w:sz="0" w:space="0" w:color="auto"/>
                                                        <w:bottom w:val="none" w:sz="0" w:space="0" w:color="auto"/>
                                                        <w:right w:val="none" w:sz="0" w:space="0" w:color="auto"/>
                                                      </w:divBdr>
                                                    </w:div>
                                                    <w:div w:id="2058044441">
                                                      <w:marLeft w:val="0"/>
                                                      <w:marRight w:val="0"/>
                                                      <w:marTop w:val="0"/>
                                                      <w:marBottom w:val="0"/>
                                                      <w:divBdr>
                                                        <w:top w:val="none" w:sz="0" w:space="0" w:color="auto"/>
                                                        <w:left w:val="none" w:sz="0" w:space="0" w:color="auto"/>
                                                        <w:bottom w:val="none" w:sz="0" w:space="0" w:color="auto"/>
                                                        <w:right w:val="none" w:sz="0" w:space="0" w:color="auto"/>
                                                      </w:divBdr>
                                                    </w:div>
                                                    <w:div w:id="1616983512">
                                                      <w:marLeft w:val="0"/>
                                                      <w:marRight w:val="0"/>
                                                      <w:marTop w:val="0"/>
                                                      <w:marBottom w:val="0"/>
                                                      <w:divBdr>
                                                        <w:top w:val="none" w:sz="0" w:space="0" w:color="auto"/>
                                                        <w:left w:val="none" w:sz="0" w:space="0" w:color="auto"/>
                                                        <w:bottom w:val="none" w:sz="0" w:space="0" w:color="auto"/>
                                                        <w:right w:val="none" w:sz="0" w:space="0" w:color="auto"/>
                                                      </w:divBdr>
                                                      <w:divsChild>
                                                        <w:div w:id="534195464">
                                                          <w:marLeft w:val="0"/>
                                                          <w:marRight w:val="0"/>
                                                          <w:marTop w:val="0"/>
                                                          <w:marBottom w:val="0"/>
                                                          <w:divBdr>
                                                            <w:top w:val="none" w:sz="0" w:space="0" w:color="auto"/>
                                                            <w:left w:val="none" w:sz="0" w:space="0" w:color="auto"/>
                                                            <w:bottom w:val="none" w:sz="0" w:space="0" w:color="auto"/>
                                                            <w:right w:val="none" w:sz="0" w:space="0" w:color="auto"/>
                                                          </w:divBdr>
                                                        </w:div>
                                                        <w:div w:id="748118120">
                                                          <w:marLeft w:val="0"/>
                                                          <w:marRight w:val="0"/>
                                                          <w:marTop w:val="0"/>
                                                          <w:marBottom w:val="0"/>
                                                          <w:divBdr>
                                                            <w:top w:val="none" w:sz="0" w:space="0" w:color="auto"/>
                                                            <w:left w:val="none" w:sz="0" w:space="0" w:color="auto"/>
                                                            <w:bottom w:val="none" w:sz="0" w:space="0" w:color="auto"/>
                                                            <w:right w:val="none" w:sz="0" w:space="0" w:color="auto"/>
                                                          </w:divBdr>
                                                        </w:div>
                                                        <w:div w:id="382414592">
                                                          <w:marLeft w:val="0"/>
                                                          <w:marRight w:val="0"/>
                                                          <w:marTop w:val="0"/>
                                                          <w:marBottom w:val="0"/>
                                                          <w:divBdr>
                                                            <w:top w:val="none" w:sz="0" w:space="0" w:color="auto"/>
                                                            <w:left w:val="none" w:sz="0" w:space="0" w:color="auto"/>
                                                            <w:bottom w:val="none" w:sz="0" w:space="0" w:color="auto"/>
                                                            <w:right w:val="none" w:sz="0" w:space="0" w:color="auto"/>
                                                          </w:divBdr>
                                                        </w:div>
                                                        <w:div w:id="672996417">
                                                          <w:marLeft w:val="0"/>
                                                          <w:marRight w:val="0"/>
                                                          <w:marTop w:val="0"/>
                                                          <w:marBottom w:val="0"/>
                                                          <w:divBdr>
                                                            <w:top w:val="none" w:sz="0" w:space="0" w:color="auto"/>
                                                            <w:left w:val="none" w:sz="0" w:space="0" w:color="auto"/>
                                                            <w:bottom w:val="none" w:sz="0" w:space="0" w:color="auto"/>
                                                            <w:right w:val="none" w:sz="0" w:space="0" w:color="auto"/>
                                                          </w:divBdr>
                                                        </w:div>
                                                        <w:div w:id="1843429250">
                                                          <w:marLeft w:val="0"/>
                                                          <w:marRight w:val="0"/>
                                                          <w:marTop w:val="0"/>
                                                          <w:marBottom w:val="0"/>
                                                          <w:divBdr>
                                                            <w:top w:val="none" w:sz="0" w:space="0" w:color="auto"/>
                                                            <w:left w:val="none" w:sz="0" w:space="0" w:color="auto"/>
                                                            <w:bottom w:val="none" w:sz="0" w:space="0" w:color="auto"/>
                                                            <w:right w:val="none" w:sz="0" w:space="0" w:color="auto"/>
                                                          </w:divBdr>
                                                        </w:div>
                                                        <w:div w:id="1576356738">
                                                          <w:marLeft w:val="0"/>
                                                          <w:marRight w:val="0"/>
                                                          <w:marTop w:val="0"/>
                                                          <w:marBottom w:val="0"/>
                                                          <w:divBdr>
                                                            <w:top w:val="none" w:sz="0" w:space="0" w:color="auto"/>
                                                            <w:left w:val="none" w:sz="0" w:space="0" w:color="auto"/>
                                                            <w:bottom w:val="none" w:sz="0" w:space="0" w:color="auto"/>
                                                            <w:right w:val="none" w:sz="0" w:space="0" w:color="auto"/>
                                                          </w:divBdr>
                                                        </w:div>
                                                        <w:div w:id="1808545408">
                                                          <w:marLeft w:val="0"/>
                                                          <w:marRight w:val="0"/>
                                                          <w:marTop w:val="0"/>
                                                          <w:marBottom w:val="0"/>
                                                          <w:divBdr>
                                                            <w:top w:val="none" w:sz="0" w:space="0" w:color="auto"/>
                                                            <w:left w:val="none" w:sz="0" w:space="0" w:color="auto"/>
                                                            <w:bottom w:val="none" w:sz="0" w:space="0" w:color="auto"/>
                                                            <w:right w:val="none" w:sz="0" w:space="0" w:color="auto"/>
                                                          </w:divBdr>
                                                        </w:div>
                                                        <w:div w:id="1557012660">
                                                          <w:marLeft w:val="0"/>
                                                          <w:marRight w:val="0"/>
                                                          <w:marTop w:val="0"/>
                                                          <w:marBottom w:val="0"/>
                                                          <w:divBdr>
                                                            <w:top w:val="none" w:sz="0" w:space="0" w:color="auto"/>
                                                            <w:left w:val="none" w:sz="0" w:space="0" w:color="auto"/>
                                                            <w:bottom w:val="none" w:sz="0" w:space="0" w:color="auto"/>
                                                            <w:right w:val="none" w:sz="0" w:space="0" w:color="auto"/>
                                                          </w:divBdr>
                                                        </w:div>
                                                        <w:div w:id="995493102">
                                                          <w:marLeft w:val="0"/>
                                                          <w:marRight w:val="0"/>
                                                          <w:marTop w:val="0"/>
                                                          <w:marBottom w:val="0"/>
                                                          <w:divBdr>
                                                            <w:top w:val="none" w:sz="0" w:space="0" w:color="auto"/>
                                                            <w:left w:val="none" w:sz="0" w:space="0" w:color="auto"/>
                                                            <w:bottom w:val="none" w:sz="0" w:space="0" w:color="auto"/>
                                                            <w:right w:val="none" w:sz="0" w:space="0" w:color="auto"/>
                                                          </w:divBdr>
                                                        </w:div>
                                                        <w:div w:id="911892782">
                                                          <w:marLeft w:val="0"/>
                                                          <w:marRight w:val="0"/>
                                                          <w:marTop w:val="0"/>
                                                          <w:marBottom w:val="0"/>
                                                          <w:divBdr>
                                                            <w:top w:val="none" w:sz="0" w:space="0" w:color="auto"/>
                                                            <w:left w:val="none" w:sz="0" w:space="0" w:color="auto"/>
                                                            <w:bottom w:val="none" w:sz="0" w:space="0" w:color="auto"/>
                                                            <w:right w:val="none" w:sz="0" w:space="0" w:color="auto"/>
                                                          </w:divBdr>
                                                        </w:div>
                                                        <w:div w:id="1333996336">
                                                          <w:marLeft w:val="0"/>
                                                          <w:marRight w:val="0"/>
                                                          <w:marTop w:val="0"/>
                                                          <w:marBottom w:val="0"/>
                                                          <w:divBdr>
                                                            <w:top w:val="none" w:sz="0" w:space="0" w:color="auto"/>
                                                            <w:left w:val="none" w:sz="0" w:space="0" w:color="auto"/>
                                                            <w:bottom w:val="none" w:sz="0" w:space="0" w:color="auto"/>
                                                            <w:right w:val="none" w:sz="0" w:space="0" w:color="auto"/>
                                                          </w:divBdr>
                                                        </w:div>
                                                        <w:div w:id="1421220968">
                                                          <w:marLeft w:val="0"/>
                                                          <w:marRight w:val="0"/>
                                                          <w:marTop w:val="0"/>
                                                          <w:marBottom w:val="0"/>
                                                          <w:divBdr>
                                                            <w:top w:val="none" w:sz="0" w:space="0" w:color="auto"/>
                                                            <w:left w:val="none" w:sz="0" w:space="0" w:color="auto"/>
                                                            <w:bottom w:val="none" w:sz="0" w:space="0" w:color="auto"/>
                                                            <w:right w:val="none" w:sz="0" w:space="0" w:color="auto"/>
                                                          </w:divBdr>
                                                        </w:div>
                                                        <w:div w:id="1175416173">
                                                          <w:marLeft w:val="0"/>
                                                          <w:marRight w:val="0"/>
                                                          <w:marTop w:val="0"/>
                                                          <w:marBottom w:val="0"/>
                                                          <w:divBdr>
                                                            <w:top w:val="none" w:sz="0" w:space="0" w:color="auto"/>
                                                            <w:left w:val="none" w:sz="0" w:space="0" w:color="auto"/>
                                                            <w:bottom w:val="none" w:sz="0" w:space="0" w:color="auto"/>
                                                            <w:right w:val="none" w:sz="0" w:space="0" w:color="auto"/>
                                                          </w:divBdr>
                                                        </w:div>
                                                      </w:divsChild>
                                                    </w:div>
                                                    <w:div w:id="724371897">
                                                      <w:marLeft w:val="0"/>
                                                      <w:marRight w:val="0"/>
                                                      <w:marTop w:val="0"/>
                                                      <w:marBottom w:val="0"/>
                                                      <w:divBdr>
                                                        <w:top w:val="none" w:sz="0" w:space="0" w:color="auto"/>
                                                        <w:left w:val="none" w:sz="0" w:space="0" w:color="auto"/>
                                                        <w:bottom w:val="none" w:sz="0" w:space="0" w:color="auto"/>
                                                        <w:right w:val="none" w:sz="0" w:space="0" w:color="auto"/>
                                                      </w:divBdr>
                                                    </w:div>
                                                    <w:div w:id="290526203">
                                                      <w:marLeft w:val="0"/>
                                                      <w:marRight w:val="0"/>
                                                      <w:marTop w:val="0"/>
                                                      <w:marBottom w:val="0"/>
                                                      <w:divBdr>
                                                        <w:top w:val="none" w:sz="0" w:space="0" w:color="auto"/>
                                                        <w:left w:val="none" w:sz="0" w:space="0" w:color="auto"/>
                                                        <w:bottom w:val="none" w:sz="0" w:space="0" w:color="auto"/>
                                                        <w:right w:val="none" w:sz="0" w:space="0" w:color="auto"/>
                                                      </w:divBdr>
                                                    </w:div>
                                                    <w:div w:id="356083478">
                                                      <w:marLeft w:val="0"/>
                                                      <w:marRight w:val="0"/>
                                                      <w:marTop w:val="0"/>
                                                      <w:marBottom w:val="0"/>
                                                      <w:divBdr>
                                                        <w:top w:val="none" w:sz="0" w:space="0" w:color="auto"/>
                                                        <w:left w:val="none" w:sz="0" w:space="0" w:color="auto"/>
                                                        <w:bottom w:val="none" w:sz="0" w:space="0" w:color="auto"/>
                                                        <w:right w:val="none" w:sz="0" w:space="0" w:color="auto"/>
                                                      </w:divBdr>
                                                    </w:div>
                                                    <w:div w:id="1784616256">
                                                      <w:marLeft w:val="0"/>
                                                      <w:marRight w:val="0"/>
                                                      <w:marTop w:val="0"/>
                                                      <w:marBottom w:val="0"/>
                                                      <w:divBdr>
                                                        <w:top w:val="none" w:sz="0" w:space="0" w:color="auto"/>
                                                        <w:left w:val="none" w:sz="0" w:space="0" w:color="auto"/>
                                                        <w:bottom w:val="none" w:sz="0" w:space="0" w:color="auto"/>
                                                        <w:right w:val="none" w:sz="0" w:space="0" w:color="auto"/>
                                                      </w:divBdr>
                                                    </w:div>
                                                    <w:div w:id="1351637093">
                                                      <w:marLeft w:val="0"/>
                                                      <w:marRight w:val="0"/>
                                                      <w:marTop w:val="0"/>
                                                      <w:marBottom w:val="0"/>
                                                      <w:divBdr>
                                                        <w:top w:val="none" w:sz="0" w:space="0" w:color="auto"/>
                                                        <w:left w:val="none" w:sz="0" w:space="0" w:color="auto"/>
                                                        <w:bottom w:val="none" w:sz="0" w:space="0" w:color="auto"/>
                                                        <w:right w:val="none" w:sz="0" w:space="0" w:color="auto"/>
                                                      </w:divBdr>
                                                    </w:div>
                                                    <w:div w:id="1325936107">
                                                      <w:marLeft w:val="0"/>
                                                      <w:marRight w:val="0"/>
                                                      <w:marTop w:val="0"/>
                                                      <w:marBottom w:val="0"/>
                                                      <w:divBdr>
                                                        <w:top w:val="none" w:sz="0" w:space="0" w:color="auto"/>
                                                        <w:left w:val="none" w:sz="0" w:space="0" w:color="auto"/>
                                                        <w:bottom w:val="none" w:sz="0" w:space="0" w:color="auto"/>
                                                        <w:right w:val="none" w:sz="0" w:space="0" w:color="auto"/>
                                                      </w:divBdr>
                                                    </w:div>
                                                    <w:div w:id="404380430">
                                                      <w:marLeft w:val="0"/>
                                                      <w:marRight w:val="0"/>
                                                      <w:marTop w:val="0"/>
                                                      <w:marBottom w:val="0"/>
                                                      <w:divBdr>
                                                        <w:top w:val="none" w:sz="0" w:space="0" w:color="auto"/>
                                                        <w:left w:val="none" w:sz="0" w:space="0" w:color="auto"/>
                                                        <w:bottom w:val="none" w:sz="0" w:space="0" w:color="auto"/>
                                                        <w:right w:val="none" w:sz="0" w:space="0" w:color="auto"/>
                                                      </w:divBdr>
                                                    </w:div>
                                                    <w:div w:id="1500151025">
                                                      <w:marLeft w:val="0"/>
                                                      <w:marRight w:val="0"/>
                                                      <w:marTop w:val="0"/>
                                                      <w:marBottom w:val="0"/>
                                                      <w:divBdr>
                                                        <w:top w:val="none" w:sz="0" w:space="0" w:color="auto"/>
                                                        <w:left w:val="none" w:sz="0" w:space="0" w:color="auto"/>
                                                        <w:bottom w:val="none" w:sz="0" w:space="0" w:color="auto"/>
                                                        <w:right w:val="none" w:sz="0" w:space="0" w:color="auto"/>
                                                      </w:divBdr>
                                                    </w:div>
                                                    <w:div w:id="1729839450">
                                                      <w:marLeft w:val="0"/>
                                                      <w:marRight w:val="0"/>
                                                      <w:marTop w:val="0"/>
                                                      <w:marBottom w:val="0"/>
                                                      <w:divBdr>
                                                        <w:top w:val="none" w:sz="0" w:space="0" w:color="auto"/>
                                                        <w:left w:val="none" w:sz="0" w:space="0" w:color="auto"/>
                                                        <w:bottom w:val="none" w:sz="0" w:space="0" w:color="auto"/>
                                                        <w:right w:val="none" w:sz="0" w:space="0" w:color="auto"/>
                                                      </w:divBdr>
                                                    </w:div>
                                                    <w:div w:id="1125387229">
                                                      <w:marLeft w:val="0"/>
                                                      <w:marRight w:val="0"/>
                                                      <w:marTop w:val="0"/>
                                                      <w:marBottom w:val="0"/>
                                                      <w:divBdr>
                                                        <w:top w:val="none" w:sz="0" w:space="0" w:color="auto"/>
                                                        <w:left w:val="none" w:sz="0" w:space="0" w:color="auto"/>
                                                        <w:bottom w:val="none" w:sz="0" w:space="0" w:color="auto"/>
                                                        <w:right w:val="none" w:sz="0" w:space="0" w:color="auto"/>
                                                      </w:divBdr>
                                                    </w:div>
                                                    <w:div w:id="457115724">
                                                      <w:marLeft w:val="0"/>
                                                      <w:marRight w:val="0"/>
                                                      <w:marTop w:val="0"/>
                                                      <w:marBottom w:val="0"/>
                                                      <w:divBdr>
                                                        <w:top w:val="none" w:sz="0" w:space="0" w:color="auto"/>
                                                        <w:left w:val="none" w:sz="0" w:space="0" w:color="auto"/>
                                                        <w:bottom w:val="none" w:sz="0" w:space="0" w:color="auto"/>
                                                        <w:right w:val="none" w:sz="0" w:space="0" w:color="auto"/>
                                                      </w:divBdr>
                                                    </w:div>
                                                    <w:div w:id="12777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4.bp.blogspot.com/-Ie7bOed1-Tg/Wa_6zdffh-I/AAAAAAAARcM/6esrBASv6t0hCi5f-tVtI0jezbEBVZCVQCLcBGAs/s1600/Ekran%2BAl%25C4%25B1nt%25C4%25B1s%25C4%25B1.P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1.bp.blogspot.com/-djHjG1cq7xo/Wa_6cHGCEcI/AAAAAAAARcI/tDA9Ex5jYlUgcxgJ35KxluMg3I9jeI-4ACLcBGAs/s1600/Ekran%2BAl%25C4%25B1nt%25C4%25B1s%25C4%25B1.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1.bp.blogspot.com/-XQHlxPJKOsQ/Wa_7CMkTTZI/AAAAAAAARcQ/GvSDdmSC9gskcr2L9tzTKxSp3qav95mbQCLcBGAs/s1600/Ekran%2BAl%25C4%25B1nt%25C4%25B1s%25C4%25B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Ferda Halıcıoğlu</dc:creator>
  <cp:lastModifiedBy>Ferda Halıcıoğlu</cp:lastModifiedBy>
  <cp:revision>1</cp:revision>
  <dcterms:created xsi:type="dcterms:W3CDTF">2017-09-11T08:10:00Z</dcterms:created>
  <dcterms:modified xsi:type="dcterms:W3CDTF">2017-09-11T08:11:00Z</dcterms:modified>
</cp:coreProperties>
</file>